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7C74F03"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033FA5">
        <w:rPr>
          <w:sz w:val="32"/>
          <w:szCs w:val="32"/>
        </w:rPr>
        <w:t>19639</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4A1C189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503184">
        <w:rPr>
          <w:sz w:val="22"/>
          <w:lang w:val="sv-FI"/>
        </w:rPr>
        <w:t>8.13.2.3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059103B" w:rsidR="00E90E49" w:rsidRPr="00CE0424" w:rsidRDefault="003D3C45" w:rsidP="00311702">
      <w:pPr>
        <w:pStyle w:val="3GPPHeader"/>
        <w:rPr>
          <w:sz w:val="22"/>
        </w:rPr>
      </w:pPr>
      <w:r>
        <w:rPr>
          <w:sz w:val="22"/>
        </w:rPr>
        <w:t>Title:</w:t>
      </w:r>
      <w:r w:rsidR="00E90E49" w:rsidRPr="00CE0424">
        <w:rPr>
          <w:sz w:val="22"/>
        </w:rPr>
        <w:tab/>
      </w:r>
      <w:r w:rsidR="00503184">
        <w:rPr>
          <w:sz w:val="22"/>
        </w:rPr>
        <w:t>ATG UE TX requirements</w:t>
      </w:r>
    </w:p>
    <w:p w14:paraId="025260C1" w14:textId="1E12878F" w:rsidR="00E90E49" w:rsidRPr="00CE0424" w:rsidRDefault="00E90E49" w:rsidP="00D546FF">
      <w:pPr>
        <w:pStyle w:val="3GPPHeader"/>
        <w:rPr>
          <w:sz w:val="22"/>
        </w:rPr>
      </w:pPr>
      <w:r w:rsidRPr="00CE0424">
        <w:rPr>
          <w:sz w:val="22"/>
        </w:rPr>
        <w:t>Document for:</w:t>
      </w:r>
      <w:r w:rsidRPr="00CE0424">
        <w:rPr>
          <w:sz w:val="22"/>
        </w:rPr>
        <w:tab/>
      </w:r>
      <w:r w:rsidR="007D567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8DE711D" w:rsidR="00477768" w:rsidRPr="00CE0424" w:rsidRDefault="00974148" w:rsidP="00CE0424">
      <w:pPr>
        <w:pStyle w:val="BodyText"/>
      </w:pPr>
      <w:r>
        <w:t xml:space="preserve">During RAN4#104bis-e, a WF was agreed on UE </w:t>
      </w:r>
      <w:r w:rsidR="00CA055D">
        <w:t>requirements for ATG. Several issues were left open. This document presents some further views on the open issues.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79B067FF" w:rsidR="00F63950" w:rsidRDefault="00230D18" w:rsidP="00F63950">
      <w:pPr>
        <w:pStyle w:val="Heading2"/>
      </w:pPr>
      <w:r>
        <w:t>2.1</w:t>
      </w:r>
      <w:r>
        <w:tab/>
      </w:r>
      <w:r w:rsidR="00CA055D">
        <w:t>General considerations</w:t>
      </w:r>
    </w:p>
    <w:p w14:paraId="7F92A7E8" w14:textId="7BA704A3" w:rsidR="00CA055D" w:rsidRDefault="00CA055D" w:rsidP="00CA055D">
      <w:pPr>
        <w:rPr>
          <w:lang w:val="en-GB" w:eastAsia="ja-JP"/>
        </w:rPr>
      </w:pPr>
      <w:r>
        <w:rPr>
          <w:lang w:val="en-GB" w:eastAsia="ja-JP"/>
        </w:rPr>
        <w:t>In the ATG scenario, the UE is mounted on the fuselage of a commercial aircraft</w:t>
      </w:r>
      <w:r w:rsidR="003F4062">
        <w:rPr>
          <w:lang w:val="en-GB" w:eastAsia="ja-JP"/>
        </w:rPr>
        <w:t>. Depending on the aircraft, the ATG UE may be located in relative proximity to other radio equipment or equipment that is sensitive to interference, some of which may be flight critical, and appropriate regulations will need to be followed. This may have an impact on the allowable UE output power</w:t>
      </w:r>
      <w:r w:rsidR="0010559E">
        <w:rPr>
          <w:lang w:val="en-GB" w:eastAsia="ja-JP"/>
        </w:rPr>
        <w:t>, as well as some emissions requirements.</w:t>
      </w:r>
    </w:p>
    <w:p w14:paraId="5169CB8A" w14:textId="5A1DFB01" w:rsidR="0010559E" w:rsidRDefault="0010559E" w:rsidP="00CA055D">
      <w:pPr>
        <w:rPr>
          <w:lang w:val="en-GB" w:eastAsia="ja-JP"/>
        </w:rPr>
      </w:pPr>
      <w:r>
        <w:rPr>
          <w:lang w:val="en-GB" w:eastAsia="ja-JP"/>
        </w:rPr>
        <w:t xml:space="preserve">To be mounted on the fuselage, the UE electronic and radio components </w:t>
      </w:r>
      <w:r w:rsidR="0090748C">
        <w:rPr>
          <w:lang w:val="en-GB" w:eastAsia="ja-JP"/>
        </w:rPr>
        <w:t xml:space="preserve">will need to meet avionics specifications and will need to be capable to withstand </w:t>
      </w:r>
      <w:r w:rsidR="00F17293">
        <w:rPr>
          <w:lang w:val="en-GB" w:eastAsia="ja-JP"/>
        </w:rPr>
        <w:t xml:space="preserve">high altitude environmental conditions. It is also possible that the </w:t>
      </w:r>
      <w:proofErr w:type="spellStart"/>
      <w:r w:rsidR="00F17293">
        <w:rPr>
          <w:lang w:val="en-GB" w:eastAsia="ja-JP"/>
        </w:rPr>
        <w:t>radome</w:t>
      </w:r>
      <w:proofErr w:type="spellEnd"/>
      <w:r w:rsidR="00F17293">
        <w:rPr>
          <w:lang w:val="en-GB" w:eastAsia="ja-JP"/>
        </w:rPr>
        <w:t xml:space="preserve"> can have quite different properties to those usually used for </w:t>
      </w:r>
      <w:r w:rsidR="00472129">
        <w:rPr>
          <w:lang w:val="en-GB" w:eastAsia="ja-JP"/>
        </w:rPr>
        <w:t>ground-based</w:t>
      </w:r>
      <w:r w:rsidR="0016467B">
        <w:rPr>
          <w:lang w:val="en-GB" w:eastAsia="ja-JP"/>
        </w:rPr>
        <w:t xml:space="preserve"> CPE and BS.</w:t>
      </w:r>
    </w:p>
    <w:p w14:paraId="68F27D03" w14:textId="490A9DC8" w:rsidR="0070774A" w:rsidRDefault="0016467B" w:rsidP="00CA055D">
      <w:pPr>
        <w:rPr>
          <w:lang w:val="en-GB" w:eastAsia="ja-JP"/>
        </w:rPr>
      </w:pPr>
      <w:r>
        <w:rPr>
          <w:lang w:val="en-GB" w:eastAsia="ja-JP"/>
        </w:rPr>
        <w:t>Bearing these constraints in mind, it may not be the case that an aircraft mounted UE can be assumed to meet all of the requirements of terrestrial handheld UEs and CPEs</w:t>
      </w:r>
      <w:r w:rsidR="004A2934">
        <w:rPr>
          <w:lang w:val="en-GB" w:eastAsia="ja-JP"/>
        </w:rPr>
        <w:t xml:space="preserve">. RAN4 should take care that UE requirements are sufficient for network operation based on the </w:t>
      </w:r>
      <w:r w:rsidR="00472129">
        <w:rPr>
          <w:lang w:val="en-GB" w:eastAsia="ja-JP"/>
        </w:rPr>
        <w:t>group’s</w:t>
      </w:r>
      <w:r w:rsidR="004A2934">
        <w:rPr>
          <w:lang w:val="en-GB" w:eastAsia="ja-JP"/>
        </w:rPr>
        <w:t xml:space="preserve"> expertise </w:t>
      </w:r>
      <w:r w:rsidR="0070774A">
        <w:rPr>
          <w:lang w:val="en-GB" w:eastAsia="ja-JP"/>
        </w:rPr>
        <w:t xml:space="preserve">in mobile </w:t>
      </w:r>
      <w:proofErr w:type="gramStart"/>
      <w:r w:rsidR="0070774A">
        <w:rPr>
          <w:lang w:val="en-GB" w:eastAsia="ja-JP"/>
        </w:rPr>
        <w:t>communications, but</w:t>
      </w:r>
      <w:proofErr w:type="gramEnd"/>
      <w:r w:rsidR="0070774A">
        <w:rPr>
          <w:lang w:val="en-GB" w:eastAsia="ja-JP"/>
        </w:rPr>
        <w:t xml:space="preserve"> take care not to constrain the ability to design UEs that will ultimately be avionics equipment.</w:t>
      </w:r>
    </w:p>
    <w:p w14:paraId="7EB9F2B1" w14:textId="0FAD2BA2" w:rsidR="000F4DEA" w:rsidRDefault="000F4DEA" w:rsidP="000F4DEA">
      <w:pPr>
        <w:pStyle w:val="Proposal"/>
        <w:rPr>
          <w:lang w:val="en-GB"/>
        </w:rPr>
      </w:pPr>
      <w:bookmarkStart w:id="1" w:name="_Toc118461951"/>
      <w:bookmarkStart w:id="2" w:name="_Toc118464058"/>
      <w:r>
        <w:rPr>
          <w:lang w:val="en-GB"/>
        </w:rPr>
        <w:t>ATG TX UE requirements should be the minimum sufficient for proper network operation, even if these are more relaxed than TN UE requirements, in order to offer design flexibility for the avionics environment.</w:t>
      </w:r>
      <w:bookmarkEnd w:id="1"/>
      <w:bookmarkEnd w:id="2"/>
    </w:p>
    <w:p w14:paraId="4A04EF1B" w14:textId="77777777" w:rsidR="003E79A7" w:rsidRDefault="003E79A7" w:rsidP="00CA055D">
      <w:pPr>
        <w:rPr>
          <w:lang w:val="en-GB" w:eastAsia="ja-JP"/>
        </w:rPr>
      </w:pPr>
    </w:p>
    <w:p w14:paraId="1C586AD4" w14:textId="234F6860" w:rsidR="0070774A" w:rsidRDefault="005F3DB5" w:rsidP="005F3DB5">
      <w:pPr>
        <w:pStyle w:val="Heading2"/>
      </w:pPr>
      <w:r>
        <w:t>2.2 Output power</w:t>
      </w:r>
    </w:p>
    <w:p w14:paraId="12FF22DD" w14:textId="27E19FC2" w:rsidR="00EF4CE9" w:rsidRPr="003B40DB" w:rsidRDefault="00D52A0B" w:rsidP="003B40DB">
      <w:pPr>
        <w:pStyle w:val="Doc-text2"/>
      </w:pPr>
      <w:r w:rsidRPr="003B40DB">
        <w:t xml:space="preserve">TN UEs are subject to requirements on output power. It is a requirement that the specified output power for the </w:t>
      </w:r>
      <w:r w:rsidR="00645F4B" w:rsidRPr="003B40DB">
        <w:t>UE is achieved.</w:t>
      </w:r>
      <w:r w:rsidR="00EF4CE9" w:rsidRPr="003B40DB">
        <w:t xml:space="preserve"> In Rel-16, IABs were created. IABs are network </w:t>
      </w:r>
      <w:r w:rsidR="00472129" w:rsidRPr="003B40DB">
        <w:t>nodes but</w:t>
      </w:r>
      <w:r w:rsidR="00EF4CE9" w:rsidRPr="003B40DB">
        <w:t xml:space="preserve"> contain an IAB-MT element that operates UE protocols and transmits in the UL. IAB UL transmission is subject to the BS requirements framework, in which the output power is declared (subject to a maximum declarable power for some BS classes) and the requirement is to meet the declaration.</w:t>
      </w:r>
    </w:p>
    <w:p w14:paraId="7B0E23C0" w14:textId="7649392D" w:rsidR="003B40DB" w:rsidRPr="003B40DB" w:rsidRDefault="00EF4CE9" w:rsidP="003B40DB">
      <w:pPr>
        <w:pStyle w:val="Doc-text2"/>
      </w:pPr>
      <w:r w:rsidRPr="003B40DB">
        <w:lastRenderedPageBreak/>
        <w:t xml:space="preserve">During discussions on ATG, it has been argued that </w:t>
      </w:r>
      <w:r w:rsidR="00DB17FA" w:rsidRPr="003B40DB">
        <w:t xml:space="preserve">an ATG UE should be subject to the same requirements as a TN UE, as this enables proper network management of the UEs. This is a valid observation and indeed </w:t>
      </w:r>
      <w:r w:rsidR="002C1A15" w:rsidRPr="003B40DB">
        <w:t xml:space="preserve">a knowledge in the network of the UE output power is needed for proper management. The problem for ATG UEs, however, is that it is not entirely clear on what level of output power </w:t>
      </w:r>
      <w:r w:rsidR="003B40DB" w:rsidRPr="003B40DB">
        <w:t xml:space="preserve">can be specified taking into account avionics requirements, as discussed in section 2.1. If RAN4 blindly specifies a UE power </w:t>
      </w:r>
      <w:r w:rsidR="00881817" w:rsidRPr="003B40DB">
        <w:t>class,</w:t>
      </w:r>
      <w:r w:rsidR="003B40DB" w:rsidRPr="003B40DB">
        <w:t xml:space="preserve"> then there is a risk that the specified power will not be compatible with avionics requirements. </w:t>
      </w:r>
    </w:p>
    <w:p w14:paraId="7C674C08" w14:textId="6DD46379" w:rsidR="003B40DB" w:rsidRDefault="003B40DB" w:rsidP="003B40DB">
      <w:pPr>
        <w:pStyle w:val="Doc-text2"/>
      </w:pPr>
      <w:r w:rsidRPr="003B40DB">
        <w:t>In the worst case, it m</w:t>
      </w:r>
      <w:r>
        <w:t>a</w:t>
      </w:r>
      <w:r w:rsidRPr="003B40DB">
        <w:t xml:space="preserve">y be that </w:t>
      </w:r>
      <w:r>
        <w:t xml:space="preserve">the UE output power has to </w:t>
      </w:r>
      <w:r w:rsidR="00881817">
        <w:t>differ</w:t>
      </w:r>
      <w:r>
        <w:t xml:space="preserve"> for different aircraft types.</w:t>
      </w:r>
    </w:p>
    <w:p w14:paraId="49330600" w14:textId="7BBDFDE6" w:rsidR="003B40DB" w:rsidRDefault="003B40DB" w:rsidP="003B40DB">
      <w:pPr>
        <w:pStyle w:val="Doc-text2"/>
      </w:pPr>
      <w:r>
        <w:t xml:space="preserve">One way to resolve </w:t>
      </w:r>
      <w:r w:rsidR="00F82115">
        <w:t xml:space="preserve">the UE output power would be to </w:t>
      </w:r>
      <w:r w:rsidR="0007181C">
        <w:t>specify the ATG using the IAB framework, in which the output power is declared subject to a maximum declarable limit</w:t>
      </w:r>
      <w:r w:rsidR="00441096">
        <w:t>. The upper limit for power would be based on the outcome of the co-existence simulations and link budget analysis. However, using the IAB framework would not resolve the concerns about the management of the UE.</w:t>
      </w:r>
    </w:p>
    <w:p w14:paraId="42C25585" w14:textId="787945BE" w:rsidR="00441096" w:rsidRDefault="00441096" w:rsidP="003B40DB">
      <w:pPr>
        <w:pStyle w:val="Doc-text2"/>
      </w:pPr>
      <w:r>
        <w:t>An alternative approach would be to create more than one ATG UE power class</w:t>
      </w:r>
      <w:r w:rsidR="00381C4D">
        <w:t>. Possibly the opportunity could be created to add further ATG power classes based on the needs of different aircraft types. The problem with such an approach could be that in the scenario of a large number of power classes being needed, the UE specification could become unwieldly, in particular if each power class would be associated with its own set of A-MPR etc.</w:t>
      </w:r>
    </w:p>
    <w:p w14:paraId="3073AEE1" w14:textId="64532417" w:rsidR="00381C4D" w:rsidRDefault="002D639E" w:rsidP="003B40DB">
      <w:pPr>
        <w:pStyle w:val="Doc-text2"/>
      </w:pPr>
      <w:r>
        <w:t>Further input on the expectations and constraints of the avionics environment on ATG UEs would be welcome to resolve this issue.</w:t>
      </w:r>
    </w:p>
    <w:p w14:paraId="649C752C" w14:textId="02A2CB1E" w:rsidR="002D639E" w:rsidRPr="003B40DB" w:rsidRDefault="002D639E" w:rsidP="002D639E">
      <w:pPr>
        <w:pStyle w:val="Proposal"/>
      </w:pPr>
      <w:bookmarkStart w:id="3" w:name="_Toc118464059"/>
      <w:r>
        <w:t>RAN4 should further discuss how to specify UE power</w:t>
      </w:r>
      <w:r w:rsidR="009F5CC3">
        <w:t xml:space="preserve"> given the uncertainties for operating a UE on an aircraft fuselage in an avionics environment</w:t>
      </w:r>
      <w:bookmarkEnd w:id="3"/>
    </w:p>
    <w:p w14:paraId="5131342B" w14:textId="5DE5A0D9" w:rsidR="00645F4B" w:rsidRDefault="00645F4B" w:rsidP="003B40DB">
      <w:pPr>
        <w:pStyle w:val="Doc-text2"/>
      </w:pPr>
    </w:p>
    <w:p w14:paraId="34CCE872" w14:textId="59284822" w:rsidR="00B34BBC" w:rsidRDefault="00B34BBC" w:rsidP="00B34BBC">
      <w:pPr>
        <w:pStyle w:val="Heading2"/>
      </w:pPr>
      <w:r>
        <w:t>2.</w:t>
      </w:r>
      <w:r w:rsidR="009E4744">
        <w:t>3 Output power dynamic range</w:t>
      </w:r>
    </w:p>
    <w:p w14:paraId="11E80785" w14:textId="089A811B" w:rsidR="009E4744" w:rsidRDefault="00881817" w:rsidP="009E4744">
      <w:pPr>
        <w:rPr>
          <w:lang w:val="en-GB" w:eastAsia="ja-JP"/>
        </w:rPr>
      </w:pPr>
      <w:r>
        <w:rPr>
          <w:lang w:val="en-GB" w:eastAsia="ja-JP"/>
        </w:rPr>
        <w:t xml:space="preserve">At RAN4#104bis-e, it was agreed that the output power dynamic range will be something between 50 – 70dB. Since the performance of </w:t>
      </w:r>
      <w:r w:rsidR="004E06B9">
        <w:rPr>
          <w:lang w:val="en-GB" w:eastAsia="ja-JP"/>
        </w:rPr>
        <w:t xml:space="preserve">ATG UE components may not be well known, it would be prudent to specify the lowest possible dynamic range that is seen to provide adequate </w:t>
      </w:r>
      <w:r w:rsidR="000A1D05">
        <w:rPr>
          <w:lang w:val="en-GB" w:eastAsia="ja-JP"/>
        </w:rPr>
        <w:t>network operation. This would be 50dB, although it is suggested that companies double check the proposal.</w:t>
      </w:r>
    </w:p>
    <w:p w14:paraId="2A57AAF9" w14:textId="0112BD7C" w:rsidR="000A1D05" w:rsidRDefault="000A1D05" w:rsidP="000A1D05">
      <w:pPr>
        <w:pStyle w:val="Proposal"/>
        <w:rPr>
          <w:lang w:val="en-GB"/>
        </w:rPr>
      </w:pPr>
      <w:bookmarkStart w:id="4" w:name="_Toc118464060"/>
      <w:r>
        <w:rPr>
          <w:lang w:val="en-GB"/>
        </w:rPr>
        <w:t xml:space="preserve">Assume 50dB dynamic range as a baseline, since UE performance </w:t>
      </w:r>
      <w:r w:rsidR="001C1A4A">
        <w:rPr>
          <w:lang w:val="en-GB"/>
        </w:rPr>
        <w:t>with avionics components is unknown. Double check 50dB is sufficient for the network in the ATG scenario.</w:t>
      </w:r>
      <w:bookmarkEnd w:id="4"/>
    </w:p>
    <w:p w14:paraId="0E0E729D" w14:textId="77777777" w:rsidR="007511C4" w:rsidRDefault="007511C4" w:rsidP="003B40DB">
      <w:pPr>
        <w:pStyle w:val="Doc-text2"/>
      </w:pPr>
    </w:p>
    <w:p w14:paraId="27F7C56A" w14:textId="3C158303" w:rsidR="00561B82" w:rsidRDefault="00561B82" w:rsidP="00561B82">
      <w:pPr>
        <w:pStyle w:val="Heading2"/>
      </w:pPr>
      <w:r>
        <w:t>2.6 Frequency error</w:t>
      </w:r>
    </w:p>
    <w:p w14:paraId="264B60CA" w14:textId="6A371BE4" w:rsidR="00B34BBC" w:rsidRDefault="00DD1097" w:rsidP="003B40DB">
      <w:pPr>
        <w:pStyle w:val="Doc-text2"/>
      </w:pPr>
      <w:r>
        <w:t xml:space="preserve">The ATG UE is moving with relatively high Doppler. Pre-compensation is likely to be required for demodulation (in particular at the BS), and timing pre-compensation </w:t>
      </w:r>
      <w:r w:rsidR="00067320">
        <w:t>is needed for aspects such as PRACH</w:t>
      </w:r>
      <w:r w:rsidR="00A2108B">
        <w:t>. Pre-compensation can be achieved using the NTN framework, in which SIB 19 is used to send absolute BS position to the UE and UE GNSS</w:t>
      </w:r>
      <w:r w:rsidR="00425395">
        <w:t>.</w:t>
      </w:r>
      <w:r w:rsidR="00E011F7">
        <w:t xml:space="preserve"> If needed, an LS can be sent to RAN2 to confirm this assumption.</w:t>
      </w:r>
    </w:p>
    <w:p w14:paraId="19E6BF5E" w14:textId="6D89F4B6" w:rsidR="006D69B0" w:rsidRDefault="00425395" w:rsidP="003B40DB">
      <w:pPr>
        <w:pStyle w:val="Doc-text2"/>
      </w:pPr>
      <w:r>
        <w:t>The Satellite UE specification 38.101-5 specifies frequency error to be after pre-compensation. For the ATG UE, if pre-compensation is assumed then the same technique shall be used</w:t>
      </w:r>
      <w:r w:rsidR="007A1D15">
        <w:t xml:space="preserve">. Currently discussion is on going </w:t>
      </w:r>
      <w:r w:rsidR="00171C5C">
        <w:t xml:space="preserve">about correcting the </w:t>
      </w:r>
      <w:r w:rsidR="006D69B0">
        <w:t>satellite requirement and further checking may be needed whether the eventual correction is also suitable for ATG.</w:t>
      </w:r>
    </w:p>
    <w:p w14:paraId="521C2913" w14:textId="240214B0" w:rsidR="00210368" w:rsidRDefault="00210368" w:rsidP="003B40DB">
      <w:pPr>
        <w:pStyle w:val="Doc-text2"/>
      </w:pPr>
    </w:p>
    <w:p w14:paraId="4DE4A9F8" w14:textId="3212D091" w:rsidR="00425395" w:rsidRPr="005F3DB5" w:rsidRDefault="00E011F7" w:rsidP="003B40DB">
      <w:pPr>
        <w:pStyle w:val="Proposal"/>
      </w:pPr>
      <w:bookmarkStart w:id="5" w:name="_Toc118464061"/>
      <w:r>
        <w:t>Assume NTN functionality can be re-used. Send an LS to RAN2 if confirmation is desired.</w:t>
      </w:r>
      <w:bookmarkEnd w:id="5"/>
    </w:p>
    <w:p w14:paraId="3879E8F8" w14:textId="77777777" w:rsidR="00C473A5" w:rsidRDefault="00C473A5" w:rsidP="00CE0424">
      <w:pPr>
        <w:pStyle w:val="Heading1"/>
        <w:sectPr w:rsidR="00C473A5" w:rsidSect="00611C3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6D3DDF" w14:textId="21B4E069" w:rsidR="00E011F7"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18464058" w:history="1">
        <w:r w:rsidR="00E011F7" w:rsidRPr="00D83466">
          <w:rPr>
            <w:rStyle w:val="Hyperlink"/>
            <w:noProof/>
            <w:lang w:val="en-GB"/>
          </w:rPr>
          <w:t>Proposal 1</w:t>
        </w:r>
        <w:r w:rsidR="00E011F7">
          <w:rPr>
            <w:rFonts w:asciiTheme="minorHAnsi" w:eastAsiaTheme="minorEastAsia" w:hAnsiTheme="minorHAnsi"/>
            <w:b w:val="0"/>
            <w:noProof/>
            <w:sz w:val="22"/>
          </w:rPr>
          <w:tab/>
        </w:r>
        <w:r w:rsidR="00E011F7" w:rsidRPr="00D83466">
          <w:rPr>
            <w:rStyle w:val="Hyperlink"/>
            <w:noProof/>
            <w:lang w:val="en-GB"/>
          </w:rPr>
          <w:t>ATG TX UE requirements should be the minimum sufficient for proper network operation, even if these are more relaxed than TN UE requirements, in order to offer design flexibility for the avionics environment.</w:t>
        </w:r>
      </w:hyperlink>
    </w:p>
    <w:p w14:paraId="6FEB89B9" w14:textId="5147CB0A" w:rsidR="00E011F7" w:rsidRDefault="00EB53C2">
      <w:pPr>
        <w:pStyle w:val="TableofFigures"/>
        <w:tabs>
          <w:tab w:val="right" w:leader="dot" w:pos="9629"/>
        </w:tabs>
        <w:rPr>
          <w:rFonts w:asciiTheme="minorHAnsi" w:eastAsiaTheme="minorEastAsia" w:hAnsiTheme="minorHAnsi"/>
          <w:b w:val="0"/>
          <w:noProof/>
          <w:sz w:val="22"/>
        </w:rPr>
      </w:pPr>
      <w:hyperlink w:anchor="_Toc118464059" w:history="1">
        <w:r w:rsidR="00E011F7" w:rsidRPr="00D83466">
          <w:rPr>
            <w:rStyle w:val="Hyperlink"/>
            <w:noProof/>
          </w:rPr>
          <w:t>Proposal 2</w:t>
        </w:r>
        <w:r w:rsidR="00E011F7">
          <w:rPr>
            <w:rFonts w:asciiTheme="minorHAnsi" w:eastAsiaTheme="minorEastAsia" w:hAnsiTheme="minorHAnsi"/>
            <w:b w:val="0"/>
            <w:noProof/>
            <w:sz w:val="22"/>
          </w:rPr>
          <w:tab/>
        </w:r>
        <w:r w:rsidR="00E011F7" w:rsidRPr="00D83466">
          <w:rPr>
            <w:rStyle w:val="Hyperlink"/>
            <w:noProof/>
          </w:rPr>
          <w:t>RAN4 should further discuss how to specify UE power given the uncertainties for operating a UE on an aircraft fuselage in an avionics environment</w:t>
        </w:r>
      </w:hyperlink>
    </w:p>
    <w:p w14:paraId="3A0F65D5" w14:textId="596978E0" w:rsidR="00E011F7" w:rsidRDefault="00EB53C2">
      <w:pPr>
        <w:pStyle w:val="TableofFigures"/>
        <w:tabs>
          <w:tab w:val="right" w:leader="dot" w:pos="9629"/>
        </w:tabs>
        <w:rPr>
          <w:rFonts w:asciiTheme="minorHAnsi" w:eastAsiaTheme="minorEastAsia" w:hAnsiTheme="minorHAnsi"/>
          <w:b w:val="0"/>
          <w:noProof/>
          <w:sz w:val="22"/>
        </w:rPr>
      </w:pPr>
      <w:hyperlink w:anchor="_Toc118464060" w:history="1">
        <w:r w:rsidR="00E011F7" w:rsidRPr="00D83466">
          <w:rPr>
            <w:rStyle w:val="Hyperlink"/>
            <w:noProof/>
            <w:lang w:val="en-GB"/>
          </w:rPr>
          <w:t>Proposal 3</w:t>
        </w:r>
        <w:r w:rsidR="00E011F7">
          <w:rPr>
            <w:rFonts w:asciiTheme="minorHAnsi" w:eastAsiaTheme="minorEastAsia" w:hAnsiTheme="minorHAnsi"/>
            <w:b w:val="0"/>
            <w:noProof/>
            <w:sz w:val="22"/>
          </w:rPr>
          <w:tab/>
        </w:r>
        <w:r w:rsidR="00E011F7" w:rsidRPr="00D83466">
          <w:rPr>
            <w:rStyle w:val="Hyperlink"/>
            <w:noProof/>
            <w:lang w:val="en-GB"/>
          </w:rPr>
          <w:t>Assume 50dB dynamic range as a baseline, since UE performance with avionics components is unknown. Double check 50dB is sufficient for the network in the ATG scenario.</w:t>
        </w:r>
      </w:hyperlink>
    </w:p>
    <w:p w14:paraId="7BC27E4F" w14:textId="7A99AB5C" w:rsidR="00E011F7" w:rsidRDefault="00EB53C2">
      <w:pPr>
        <w:pStyle w:val="TableofFigures"/>
        <w:tabs>
          <w:tab w:val="right" w:leader="dot" w:pos="9629"/>
        </w:tabs>
        <w:rPr>
          <w:rFonts w:asciiTheme="minorHAnsi" w:eastAsiaTheme="minorEastAsia" w:hAnsiTheme="minorHAnsi"/>
          <w:b w:val="0"/>
          <w:noProof/>
          <w:sz w:val="22"/>
        </w:rPr>
      </w:pPr>
      <w:hyperlink w:anchor="_Toc118464061" w:history="1">
        <w:r w:rsidR="00E011F7" w:rsidRPr="00D83466">
          <w:rPr>
            <w:rStyle w:val="Hyperlink"/>
            <w:noProof/>
          </w:rPr>
          <w:t>Proposal 4</w:t>
        </w:r>
        <w:r w:rsidR="00E011F7">
          <w:rPr>
            <w:rFonts w:asciiTheme="minorHAnsi" w:eastAsiaTheme="minorEastAsia" w:hAnsiTheme="minorHAnsi"/>
            <w:b w:val="0"/>
            <w:noProof/>
            <w:sz w:val="22"/>
          </w:rPr>
          <w:tab/>
        </w:r>
        <w:r w:rsidR="00E011F7" w:rsidRPr="00D83466">
          <w:rPr>
            <w:rStyle w:val="Hyperlink"/>
            <w:noProof/>
          </w:rPr>
          <w:t>Assume NTN functionality can be re-used. Send an LS to RAN2 if confirmation is desired.</w:t>
        </w:r>
      </w:hyperlink>
    </w:p>
    <w:p w14:paraId="747C743C" w14:textId="6F74860C"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007C4" w14:textId="77777777" w:rsidR="001A2420" w:rsidRDefault="001A2420">
      <w:r>
        <w:separator/>
      </w:r>
    </w:p>
  </w:endnote>
  <w:endnote w:type="continuationSeparator" w:id="0">
    <w:p w14:paraId="1E9C0D18" w14:textId="77777777" w:rsidR="001A2420" w:rsidRDefault="001A2420">
      <w:r>
        <w:continuationSeparator/>
      </w:r>
    </w:p>
  </w:endnote>
  <w:endnote w:type="continuationNotice" w:id="1">
    <w:p w14:paraId="4D613596" w14:textId="77777777" w:rsidR="001A2420" w:rsidRDefault="001A24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370BA" w14:textId="77777777" w:rsidR="001A2420" w:rsidRDefault="001A2420">
      <w:r>
        <w:separator/>
      </w:r>
    </w:p>
  </w:footnote>
  <w:footnote w:type="continuationSeparator" w:id="0">
    <w:p w14:paraId="6F27EDD8" w14:textId="77777777" w:rsidR="001A2420" w:rsidRDefault="001A2420">
      <w:r>
        <w:continuationSeparator/>
      </w:r>
    </w:p>
  </w:footnote>
  <w:footnote w:type="continuationNotice" w:id="1">
    <w:p w14:paraId="46AED846" w14:textId="77777777" w:rsidR="001A2420" w:rsidRDefault="001A24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3FA5"/>
    <w:rsid w:val="00034C15"/>
    <w:rsid w:val="00036BA1"/>
    <w:rsid w:val="000422E2"/>
    <w:rsid w:val="00042F22"/>
    <w:rsid w:val="000444EF"/>
    <w:rsid w:val="00052A07"/>
    <w:rsid w:val="000534E3"/>
    <w:rsid w:val="0005606A"/>
    <w:rsid w:val="00057117"/>
    <w:rsid w:val="000616E7"/>
    <w:rsid w:val="0006487E"/>
    <w:rsid w:val="00065E1A"/>
    <w:rsid w:val="00067320"/>
    <w:rsid w:val="0007181C"/>
    <w:rsid w:val="00077E5F"/>
    <w:rsid w:val="0008036A"/>
    <w:rsid w:val="00081AE6"/>
    <w:rsid w:val="000855EB"/>
    <w:rsid w:val="00085B52"/>
    <w:rsid w:val="000866F2"/>
    <w:rsid w:val="0009009F"/>
    <w:rsid w:val="00091557"/>
    <w:rsid w:val="000924C1"/>
    <w:rsid w:val="000924F0"/>
    <w:rsid w:val="00093474"/>
    <w:rsid w:val="0009510F"/>
    <w:rsid w:val="000A1B7B"/>
    <w:rsid w:val="000A1D05"/>
    <w:rsid w:val="000A56F2"/>
    <w:rsid w:val="000B2719"/>
    <w:rsid w:val="000B3A8F"/>
    <w:rsid w:val="000B4AB9"/>
    <w:rsid w:val="000B58C3"/>
    <w:rsid w:val="000B61E9"/>
    <w:rsid w:val="000C165A"/>
    <w:rsid w:val="000C2E19"/>
    <w:rsid w:val="000D0D07"/>
    <w:rsid w:val="000D1FB0"/>
    <w:rsid w:val="000D4797"/>
    <w:rsid w:val="000E0527"/>
    <w:rsid w:val="000E1E92"/>
    <w:rsid w:val="000F06D6"/>
    <w:rsid w:val="000F0EB1"/>
    <w:rsid w:val="000F1106"/>
    <w:rsid w:val="000F3BE9"/>
    <w:rsid w:val="000F3F6C"/>
    <w:rsid w:val="000F4DEA"/>
    <w:rsid w:val="000F6DF3"/>
    <w:rsid w:val="001005FF"/>
    <w:rsid w:val="0010559E"/>
    <w:rsid w:val="001062FB"/>
    <w:rsid w:val="001063E6"/>
    <w:rsid w:val="0010648A"/>
    <w:rsid w:val="00113CF4"/>
    <w:rsid w:val="001153EA"/>
    <w:rsid w:val="00115643"/>
    <w:rsid w:val="00116765"/>
    <w:rsid w:val="001219F5"/>
    <w:rsid w:val="00121A20"/>
    <w:rsid w:val="0012377F"/>
    <w:rsid w:val="00124314"/>
    <w:rsid w:val="00126B4A"/>
    <w:rsid w:val="00132FD0"/>
    <w:rsid w:val="001344C0"/>
    <w:rsid w:val="001346FA"/>
    <w:rsid w:val="00135252"/>
    <w:rsid w:val="001371FE"/>
    <w:rsid w:val="00137AB5"/>
    <w:rsid w:val="00137F0B"/>
    <w:rsid w:val="00151E23"/>
    <w:rsid w:val="001526E0"/>
    <w:rsid w:val="001551B5"/>
    <w:rsid w:val="0015599D"/>
    <w:rsid w:val="00156825"/>
    <w:rsid w:val="0016467B"/>
    <w:rsid w:val="001659C1"/>
    <w:rsid w:val="00171C5C"/>
    <w:rsid w:val="00173A8E"/>
    <w:rsid w:val="0017502C"/>
    <w:rsid w:val="0018143F"/>
    <w:rsid w:val="00181FF8"/>
    <w:rsid w:val="00190AC1"/>
    <w:rsid w:val="0019341A"/>
    <w:rsid w:val="00197DF9"/>
    <w:rsid w:val="001A1987"/>
    <w:rsid w:val="001A2420"/>
    <w:rsid w:val="001A2564"/>
    <w:rsid w:val="001A3905"/>
    <w:rsid w:val="001A6173"/>
    <w:rsid w:val="001A6CBA"/>
    <w:rsid w:val="001B0D97"/>
    <w:rsid w:val="001B5A5D"/>
    <w:rsid w:val="001C014B"/>
    <w:rsid w:val="001C1A4A"/>
    <w:rsid w:val="001C1CE5"/>
    <w:rsid w:val="001C3D2A"/>
    <w:rsid w:val="001D51BA"/>
    <w:rsid w:val="001D53E7"/>
    <w:rsid w:val="001D6342"/>
    <w:rsid w:val="001D6D53"/>
    <w:rsid w:val="001E5432"/>
    <w:rsid w:val="001E58E2"/>
    <w:rsid w:val="001E7AED"/>
    <w:rsid w:val="001F3916"/>
    <w:rsid w:val="001F54C5"/>
    <w:rsid w:val="001F5CD9"/>
    <w:rsid w:val="001F662C"/>
    <w:rsid w:val="001F7074"/>
    <w:rsid w:val="00200490"/>
    <w:rsid w:val="00201F3A"/>
    <w:rsid w:val="00203F96"/>
    <w:rsid w:val="002069B2"/>
    <w:rsid w:val="00207FA3"/>
    <w:rsid w:val="0021036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8D7"/>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1A15"/>
    <w:rsid w:val="002C41E6"/>
    <w:rsid w:val="002D071A"/>
    <w:rsid w:val="002D34B2"/>
    <w:rsid w:val="002D48B0"/>
    <w:rsid w:val="002D5B37"/>
    <w:rsid w:val="002D639E"/>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C4D"/>
    <w:rsid w:val="00385BF0"/>
    <w:rsid w:val="003939FF"/>
    <w:rsid w:val="00397147"/>
    <w:rsid w:val="0039793C"/>
    <w:rsid w:val="003A2223"/>
    <w:rsid w:val="003A2A0F"/>
    <w:rsid w:val="003A35D5"/>
    <w:rsid w:val="003A45A1"/>
    <w:rsid w:val="003A5B0A"/>
    <w:rsid w:val="003A6BAC"/>
    <w:rsid w:val="003A70A4"/>
    <w:rsid w:val="003A7EF3"/>
    <w:rsid w:val="003B159C"/>
    <w:rsid w:val="003B369F"/>
    <w:rsid w:val="003B36A3"/>
    <w:rsid w:val="003B40DB"/>
    <w:rsid w:val="003B64BB"/>
    <w:rsid w:val="003B7FE5"/>
    <w:rsid w:val="003C11C8"/>
    <w:rsid w:val="003C2702"/>
    <w:rsid w:val="003C7806"/>
    <w:rsid w:val="003D109F"/>
    <w:rsid w:val="003D2478"/>
    <w:rsid w:val="003D3C45"/>
    <w:rsid w:val="003D5B1F"/>
    <w:rsid w:val="003E15FA"/>
    <w:rsid w:val="003E55E4"/>
    <w:rsid w:val="003E74E3"/>
    <w:rsid w:val="003E79A7"/>
    <w:rsid w:val="003F05C7"/>
    <w:rsid w:val="003F2CD4"/>
    <w:rsid w:val="003F4062"/>
    <w:rsid w:val="003F6BBE"/>
    <w:rsid w:val="004000E8"/>
    <w:rsid w:val="00401BFB"/>
    <w:rsid w:val="00402E2B"/>
    <w:rsid w:val="0040512B"/>
    <w:rsid w:val="00405CA5"/>
    <w:rsid w:val="00407CD3"/>
    <w:rsid w:val="00410134"/>
    <w:rsid w:val="00410B72"/>
    <w:rsid w:val="00410F18"/>
    <w:rsid w:val="0041263E"/>
    <w:rsid w:val="00413AAC"/>
    <w:rsid w:val="00413E92"/>
    <w:rsid w:val="00421105"/>
    <w:rsid w:val="00422AA4"/>
    <w:rsid w:val="004242F4"/>
    <w:rsid w:val="00425395"/>
    <w:rsid w:val="00427248"/>
    <w:rsid w:val="004321D4"/>
    <w:rsid w:val="00437447"/>
    <w:rsid w:val="00441096"/>
    <w:rsid w:val="00441A92"/>
    <w:rsid w:val="004431DC"/>
    <w:rsid w:val="00444F56"/>
    <w:rsid w:val="00446488"/>
    <w:rsid w:val="004517AA"/>
    <w:rsid w:val="00452CAC"/>
    <w:rsid w:val="00457565"/>
    <w:rsid w:val="00457B71"/>
    <w:rsid w:val="00464689"/>
    <w:rsid w:val="004669E2"/>
    <w:rsid w:val="00470C31"/>
    <w:rsid w:val="00471DE0"/>
    <w:rsid w:val="00472129"/>
    <w:rsid w:val="004734D0"/>
    <w:rsid w:val="0047556B"/>
    <w:rsid w:val="00477768"/>
    <w:rsid w:val="00492BC5"/>
    <w:rsid w:val="004964F1"/>
    <w:rsid w:val="004A16BC"/>
    <w:rsid w:val="004A2934"/>
    <w:rsid w:val="004A2B94"/>
    <w:rsid w:val="004B6F6A"/>
    <w:rsid w:val="004B7C0C"/>
    <w:rsid w:val="004C3898"/>
    <w:rsid w:val="004D36B1"/>
    <w:rsid w:val="004D7EBD"/>
    <w:rsid w:val="004E06B9"/>
    <w:rsid w:val="004E2680"/>
    <w:rsid w:val="004E28F9"/>
    <w:rsid w:val="004E462E"/>
    <w:rsid w:val="004E56DC"/>
    <w:rsid w:val="004E76F4"/>
    <w:rsid w:val="004F0B4E"/>
    <w:rsid w:val="004F0B6C"/>
    <w:rsid w:val="004F2078"/>
    <w:rsid w:val="004F4DA3"/>
    <w:rsid w:val="00501485"/>
    <w:rsid w:val="00503184"/>
    <w:rsid w:val="00506557"/>
    <w:rsid w:val="0050677A"/>
    <w:rsid w:val="00507EF0"/>
    <w:rsid w:val="005108D8"/>
    <w:rsid w:val="005116F9"/>
    <w:rsid w:val="005153A7"/>
    <w:rsid w:val="005219CF"/>
    <w:rsid w:val="00534B59"/>
    <w:rsid w:val="00536759"/>
    <w:rsid w:val="00537C62"/>
    <w:rsid w:val="00546970"/>
    <w:rsid w:val="00554E19"/>
    <w:rsid w:val="0056121F"/>
    <w:rsid w:val="00561B82"/>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DB5"/>
    <w:rsid w:val="005F618C"/>
    <w:rsid w:val="005F70BD"/>
    <w:rsid w:val="0060283C"/>
    <w:rsid w:val="00604F14"/>
    <w:rsid w:val="00611B83"/>
    <w:rsid w:val="00611C3B"/>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F4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99D"/>
    <w:rsid w:val="006D69B0"/>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74A"/>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1C4"/>
    <w:rsid w:val="00751228"/>
    <w:rsid w:val="007571E1"/>
    <w:rsid w:val="007604B2"/>
    <w:rsid w:val="00765281"/>
    <w:rsid w:val="00766BAD"/>
    <w:rsid w:val="007729A2"/>
    <w:rsid w:val="007755F2"/>
    <w:rsid w:val="00776971"/>
    <w:rsid w:val="00780A80"/>
    <w:rsid w:val="0078177E"/>
    <w:rsid w:val="0078304C"/>
    <w:rsid w:val="00783673"/>
    <w:rsid w:val="00785490"/>
    <w:rsid w:val="00787EE8"/>
    <w:rsid w:val="007925EA"/>
    <w:rsid w:val="00793CD8"/>
    <w:rsid w:val="00794552"/>
    <w:rsid w:val="00795C92"/>
    <w:rsid w:val="00796231"/>
    <w:rsid w:val="00797173"/>
    <w:rsid w:val="007A1CB3"/>
    <w:rsid w:val="007A1D15"/>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3A1A"/>
    <w:rsid w:val="007D5676"/>
    <w:rsid w:val="007D5901"/>
    <w:rsid w:val="007D7526"/>
    <w:rsid w:val="007E2EF4"/>
    <w:rsid w:val="007E4610"/>
    <w:rsid w:val="007E4715"/>
    <w:rsid w:val="007E505B"/>
    <w:rsid w:val="007E6E7E"/>
    <w:rsid w:val="007E7091"/>
    <w:rsid w:val="008001C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CB8"/>
    <w:rsid w:val="008669DA"/>
    <w:rsid w:val="008677FD"/>
    <w:rsid w:val="008706D4"/>
    <w:rsid w:val="00870F8A"/>
    <w:rsid w:val="008719A4"/>
    <w:rsid w:val="00871D23"/>
    <w:rsid w:val="00874312"/>
    <w:rsid w:val="0087437C"/>
    <w:rsid w:val="00875CD7"/>
    <w:rsid w:val="00876B4D"/>
    <w:rsid w:val="00877F18"/>
    <w:rsid w:val="00881817"/>
    <w:rsid w:val="008941E3"/>
    <w:rsid w:val="00894A88"/>
    <w:rsid w:val="00895386"/>
    <w:rsid w:val="008A21FF"/>
    <w:rsid w:val="008A2CE2"/>
    <w:rsid w:val="008A30AC"/>
    <w:rsid w:val="008A44B8"/>
    <w:rsid w:val="008A51A8"/>
    <w:rsid w:val="008A54C7"/>
    <w:rsid w:val="008A60A8"/>
    <w:rsid w:val="008A77D8"/>
    <w:rsid w:val="008B0483"/>
    <w:rsid w:val="008B120C"/>
    <w:rsid w:val="008B51A0"/>
    <w:rsid w:val="008B592A"/>
    <w:rsid w:val="008B7B5C"/>
    <w:rsid w:val="008C0C99"/>
    <w:rsid w:val="008C2017"/>
    <w:rsid w:val="008C4958"/>
    <w:rsid w:val="008C4BAA"/>
    <w:rsid w:val="008C6AE8"/>
    <w:rsid w:val="008C7573"/>
    <w:rsid w:val="008C7E7B"/>
    <w:rsid w:val="008D00A5"/>
    <w:rsid w:val="008D34F1"/>
    <w:rsid w:val="008D39D8"/>
    <w:rsid w:val="008D6D1A"/>
    <w:rsid w:val="008E065E"/>
    <w:rsid w:val="008E0927"/>
    <w:rsid w:val="008E1909"/>
    <w:rsid w:val="008F1C4E"/>
    <w:rsid w:val="008F1EAB"/>
    <w:rsid w:val="008F33DC"/>
    <w:rsid w:val="008F477F"/>
    <w:rsid w:val="00900DE9"/>
    <w:rsid w:val="00902350"/>
    <w:rsid w:val="0090336B"/>
    <w:rsid w:val="009053AA"/>
    <w:rsid w:val="00906939"/>
    <w:rsid w:val="0090748C"/>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14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44"/>
    <w:rsid w:val="009E47A3"/>
    <w:rsid w:val="009F08F3"/>
    <w:rsid w:val="009F236F"/>
    <w:rsid w:val="009F344F"/>
    <w:rsid w:val="009F5CC3"/>
    <w:rsid w:val="00A031D8"/>
    <w:rsid w:val="00A048A8"/>
    <w:rsid w:val="00A04F49"/>
    <w:rsid w:val="00A13E54"/>
    <w:rsid w:val="00A17F63"/>
    <w:rsid w:val="00A2108B"/>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AB1"/>
    <w:rsid w:val="00B20256"/>
    <w:rsid w:val="00B20D09"/>
    <w:rsid w:val="00B24F22"/>
    <w:rsid w:val="00B2757F"/>
    <w:rsid w:val="00B2763F"/>
    <w:rsid w:val="00B277C7"/>
    <w:rsid w:val="00B27AAC"/>
    <w:rsid w:val="00B30929"/>
    <w:rsid w:val="00B34BBC"/>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95198"/>
    <w:rsid w:val="00BA2280"/>
    <w:rsid w:val="00BA2A08"/>
    <w:rsid w:val="00BA56D2"/>
    <w:rsid w:val="00BA76E0"/>
    <w:rsid w:val="00BB2A0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03E"/>
    <w:rsid w:val="00C154BB"/>
    <w:rsid w:val="00C279B5"/>
    <w:rsid w:val="00C27C45"/>
    <w:rsid w:val="00C36F1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55D"/>
    <w:rsid w:val="00CA1ED8"/>
    <w:rsid w:val="00CB1F63"/>
    <w:rsid w:val="00CB7170"/>
    <w:rsid w:val="00CC040E"/>
    <w:rsid w:val="00CC111F"/>
    <w:rsid w:val="00CC2011"/>
    <w:rsid w:val="00CC3EA0"/>
    <w:rsid w:val="00CC7B45"/>
    <w:rsid w:val="00CD1188"/>
    <w:rsid w:val="00CD2ED1"/>
    <w:rsid w:val="00CD337B"/>
    <w:rsid w:val="00CE0424"/>
    <w:rsid w:val="00CE5616"/>
    <w:rsid w:val="00CE7561"/>
    <w:rsid w:val="00CF1354"/>
    <w:rsid w:val="00CF3B1F"/>
    <w:rsid w:val="00CF3BF6"/>
    <w:rsid w:val="00CF625B"/>
    <w:rsid w:val="00CF687E"/>
    <w:rsid w:val="00D027FF"/>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A0B"/>
    <w:rsid w:val="00D546FF"/>
    <w:rsid w:val="00D55AD5"/>
    <w:rsid w:val="00D576CA"/>
    <w:rsid w:val="00D61318"/>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17FA"/>
    <w:rsid w:val="00DB377D"/>
    <w:rsid w:val="00DC2D36"/>
    <w:rsid w:val="00DC53EF"/>
    <w:rsid w:val="00DD1097"/>
    <w:rsid w:val="00DE5608"/>
    <w:rsid w:val="00DE58D0"/>
    <w:rsid w:val="00DE654F"/>
    <w:rsid w:val="00DF0B6E"/>
    <w:rsid w:val="00DF15E0"/>
    <w:rsid w:val="00DF37A0"/>
    <w:rsid w:val="00E011F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07"/>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33E"/>
    <w:rsid w:val="00EA7A41"/>
    <w:rsid w:val="00EB077B"/>
    <w:rsid w:val="00EB4EA2"/>
    <w:rsid w:val="00EB53C2"/>
    <w:rsid w:val="00EC24D5"/>
    <w:rsid w:val="00EC27C6"/>
    <w:rsid w:val="00EC4207"/>
    <w:rsid w:val="00EC5653"/>
    <w:rsid w:val="00EC71CE"/>
    <w:rsid w:val="00ED1006"/>
    <w:rsid w:val="00EF18FE"/>
    <w:rsid w:val="00EF4CE9"/>
    <w:rsid w:val="00EF5787"/>
    <w:rsid w:val="00EF60D0"/>
    <w:rsid w:val="00F0528D"/>
    <w:rsid w:val="00F06C67"/>
    <w:rsid w:val="00F06DFD"/>
    <w:rsid w:val="00F071D1"/>
    <w:rsid w:val="00F07533"/>
    <w:rsid w:val="00F10629"/>
    <w:rsid w:val="00F15FA5"/>
    <w:rsid w:val="00F17293"/>
    <w:rsid w:val="00F209B7"/>
    <w:rsid w:val="00F2376F"/>
    <w:rsid w:val="00F243D8"/>
    <w:rsid w:val="00F30828"/>
    <w:rsid w:val="00F313D6"/>
    <w:rsid w:val="00F40F0C"/>
    <w:rsid w:val="00F4766C"/>
    <w:rsid w:val="00F5060E"/>
    <w:rsid w:val="00F507D1"/>
    <w:rsid w:val="00F519CE"/>
    <w:rsid w:val="00F51ADA"/>
    <w:rsid w:val="00F51E48"/>
    <w:rsid w:val="00F60203"/>
    <w:rsid w:val="00F607C5"/>
    <w:rsid w:val="00F60DEA"/>
    <w:rsid w:val="00F62BE0"/>
    <w:rsid w:val="00F6302A"/>
    <w:rsid w:val="00F63950"/>
    <w:rsid w:val="00F64C2B"/>
    <w:rsid w:val="00F651BE"/>
    <w:rsid w:val="00F67F53"/>
    <w:rsid w:val="00F703BE"/>
    <w:rsid w:val="00F71F69"/>
    <w:rsid w:val="00F72B72"/>
    <w:rsid w:val="00F74BB9"/>
    <w:rsid w:val="00F75582"/>
    <w:rsid w:val="00F76EFA"/>
    <w:rsid w:val="00F804BE"/>
    <w:rsid w:val="00F817CE"/>
    <w:rsid w:val="00F82115"/>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2AE3A76-88F8-4288-8BA4-77CE46D9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B40DB"/>
    <w:pPr>
      <w:tabs>
        <w:tab w:val="left" w:pos="1622"/>
      </w:tabs>
      <w:spacing w:after="240"/>
    </w:pPr>
    <w:rPr>
      <w:rFonts w:eastAsia="MS Mincho"/>
      <w:szCs w:val="24"/>
      <w:lang w:eastAsia="x-none"/>
    </w:rPr>
  </w:style>
  <w:style w:type="character" w:customStyle="1" w:styleId="Doc-text2Char">
    <w:name w:val="Doc-text2 Char"/>
    <w:link w:val="Doc-text2"/>
    <w:locked/>
    <w:rsid w:val="003B40DB"/>
    <w:rPr>
      <w:rFonts w:ascii="Arial" w:eastAsia="MS Mincho" w:hAnsi="Arial" w:cstheme="minorBidi"/>
      <w:szCs w:val="24"/>
      <w:lang w:val="en-US"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50B6E25-293E-4621-83AB-8ECE05CD4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3780</TotalTime>
  <Pages>3</Pages>
  <Words>1044</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6393</CharactersWithSpaces>
  <SharedDoc>false</SharedDoc>
  <HLinks>
    <vt:vector size="24" baseType="variant">
      <vt:variant>
        <vt:i4>1048639</vt:i4>
      </vt:variant>
      <vt:variant>
        <vt:i4>14</vt:i4>
      </vt:variant>
      <vt:variant>
        <vt:i4>0</vt:i4>
      </vt:variant>
      <vt:variant>
        <vt:i4>5</vt:i4>
      </vt:variant>
      <vt:variant>
        <vt:lpwstr/>
      </vt:variant>
      <vt:variant>
        <vt:lpwstr>_Toc118464061</vt:lpwstr>
      </vt:variant>
      <vt:variant>
        <vt:i4>1048639</vt:i4>
      </vt:variant>
      <vt:variant>
        <vt:i4>11</vt:i4>
      </vt:variant>
      <vt:variant>
        <vt:i4>0</vt:i4>
      </vt:variant>
      <vt:variant>
        <vt:i4>5</vt:i4>
      </vt:variant>
      <vt:variant>
        <vt:lpwstr/>
      </vt:variant>
      <vt:variant>
        <vt:lpwstr>_Toc118464060</vt:lpwstr>
      </vt:variant>
      <vt:variant>
        <vt:i4>1245247</vt:i4>
      </vt:variant>
      <vt:variant>
        <vt:i4>8</vt:i4>
      </vt:variant>
      <vt:variant>
        <vt:i4>0</vt:i4>
      </vt:variant>
      <vt:variant>
        <vt:i4>5</vt:i4>
      </vt:variant>
      <vt:variant>
        <vt:lpwstr/>
      </vt:variant>
      <vt:variant>
        <vt:lpwstr>_Toc118464059</vt:lpwstr>
      </vt:variant>
      <vt:variant>
        <vt:i4>1245247</vt:i4>
      </vt:variant>
      <vt:variant>
        <vt:i4>5</vt:i4>
      </vt:variant>
      <vt:variant>
        <vt:i4>0</vt:i4>
      </vt:variant>
      <vt:variant>
        <vt:i4>5</vt:i4>
      </vt:variant>
      <vt:variant>
        <vt:lpwstr/>
      </vt:variant>
      <vt:variant>
        <vt:lpwstr>_Toc118464058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92</cp:revision>
  <cp:lastPrinted>2008-02-01T01:09:00Z</cp:lastPrinted>
  <dcterms:created xsi:type="dcterms:W3CDTF">2020-08-14T15:21:00Z</dcterms:created>
  <dcterms:modified xsi:type="dcterms:W3CDTF">2022-11-07T15:33:00Z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